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F259" w14:textId="70736AAD"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4C5C5EA9"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5471F">
              <w:rPr>
                <w:rFonts w:eastAsia="Calibri" w:cstheme="minorHAnsi"/>
                <w:bCs/>
              </w:rPr>
              <w:t>BOB 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lastRenderedPageBreak/>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26C282DB" w:rsidR="006D24A0" w:rsidRPr="00954E04" w:rsidRDefault="006D24A0" w:rsidP="006D24A0">
            <w:pPr>
              <w:jc w:val="both"/>
              <w:rPr>
                <w:rFonts w:eastAsia="Calibri" w:cstheme="minorHAnsi"/>
                <w:b/>
                <w:bCs/>
              </w:rPr>
            </w:pPr>
            <w:r>
              <w:rPr>
                <w:rFonts w:eastAsia="Calibri" w:cstheme="minorHAnsi"/>
                <w:b/>
                <w:bCs/>
              </w:rPr>
              <w:t xml:space="preserve">Processor – </w:t>
            </w:r>
            <w:r w:rsidR="0095471F">
              <w:rPr>
                <w:rFonts w:eastAsia="Calibri" w:cstheme="minorHAnsi"/>
                <w:bCs/>
              </w:rPr>
              <w:t>UMed</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70339245"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95471F">
              <w:rPr>
                <w:rFonts w:eastAsia="Calibri" w:cstheme="minorHAnsi"/>
                <w:bCs/>
              </w:rPr>
              <w:t>– Dr Dominic Matthews</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752ECAF6"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5471F">
              <w:rPr>
                <w:rFonts w:eastAsia="Calibri" w:cstheme="minorHAnsi"/>
                <w:bCs/>
              </w:rPr>
              <w:t xml:space="preserve">Safeguarding lead – Dr R </w:t>
            </w:r>
            <w:proofErr w:type="spellStart"/>
            <w:r w:rsidR="0095471F">
              <w:rPr>
                <w:rFonts w:eastAsia="Calibri" w:cstheme="minorHAnsi"/>
                <w:bCs/>
              </w:rPr>
              <w:t>Bhella</w:t>
            </w:r>
            <w:proofErr w:type="spellEnd"/>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0B0BCD70" w:rsidR="006D24A0" w:rsidRPr="00954E04" w:rsidRDefault="006D24A0" w:rsidP="006D24A0">
            <w:pPr>
              <w:jc w:val="both"/>
              <w:rPr>
                <w:rFonts w:eastAsia="Calibri" w:cstheme="minorHAnsi"/>
                <w:b/>
                <w:bCs/>
              </w:rPr>
            </w:pPr>
            <w:r w:rsidRPr="00954E04">
              <w:rPr>
                <w:rFonts w:eastAsia="Calibri" w:cstheme="minorHAnsi"/>
                <w:b/>
                <w:bCs/>
              </w:rPr>
              <w:t xml:space="preserve">Data </w:t>
            </w:r>
            <w:proofErr w:type="gramStart"/>
            <w:r w:rsidRPr="00954E04">
              <w:rPr>
                <w:rFonts w:eastAsia="Calibri" w:cstheme="minorHAnsi"/>
                <w:b/>
                <w:bCs/>
              </w:rPr>
              <w:t>Processor</w:t>
            </w:r>
            <w:r w:rsidRPr="00954E04">
              <w:rPr>
                <w:rFonts w:eastAsia="Calibri" w:cstheme="minorHAnsi"/>
                <w:bCs/>
              </w:rPr>
              <w:t xml:space="preserve"> </w:t>
            </w:r>
            <w:r w:rsidR="0095471F">
              <w:rPr>
                <w:rFonts w:eastAsia="Calibri" w:cstheme="minorHAnsi"/>
                <w:bCs/>
              </w:rPr>
              <w:t xml:space="preserve"> -</w:t>
            </w:r>
            <w:proofErr w:type="gramEnd"/>
            <w:r w:rsidR="0095471F">
              <w:rPr>
                <w:rFonts w:eastAsia="Calibri" w:cstheme="minorHAnsi"/>
                <w:bCs/>
              </w:rPr>
              <w:t xml:space="preserve"> Safeguarding lead – Dr R </w:t>
            </w:r>
            <w:proofErr w:type="spellStart"/>
            <w:r w:rsidR="0095471F">
              <w:rPr>
                <w:rFonts w:eastAsia="Calibri" w:cstheme="minorHAnsi"/>
                <w:bCs/>
              </w:rPr>
              <w:t>Bhella</w:t>
            </w:r>
            <w:proofErr w:type="spellEnd"/>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63614DDF" w:rsidR="006D24A0" w:rsidRPr="00954E04" w:rsidRDefault="006D24A0" w:rsidP="006D24A0">
            <w:pPr>
              <w:jc w:val="both"/>
              <w:rPr>
                <w:rFonts w:cstheme="minorHAnsi"/>
              </w:rPr>
            </w:pPr>
            <w:proofErr w:type="gramStart"/>
            <w:r w:rsidRPr="00954E04">
              <w:rPr>
                <w:rFonts w:cstheme="minorHAnsi"/>
                <w:b/>
                <w:lang w:val="en-US"/>
              </w:rPr>
              <w:t>Processors</w:t>
            </w:r>
            <w:r w:rsidRPr="00954E04">
              <w:rPr>
                <w:rFonts w:cstheme="minorHAnsi"/>
                <w:lang w:val="en-US"/>
              </w:rPr>
              <w:t xml:space="preserve"> </w:t>
            </w:r>
            <w:r w:rsidR="0095471F">
              <w:rPr>
                <w:rFonts w:cstheme="minorHAnsi"/>
                <w:lang w:val="en-US"/>
              </w:rPr>
              <w:t xml:space="preserve"> -</w:t>
            </w:r>
            <w:proofErr w:type="gramEnd"/>
            <w:r w:rsidR="0095471F">
              <w:rPr>
                <w:rFonts w:cstheme="minorHAnsi"/>
                <w:lang w:val="en-US"/>
              </w:rPr>
              <w:t xml:space="preserve"> </w:t>
            </w:r>
            <w:r w:rsidR="0095471F" w:rsidRPr="00954E04">
              <w:rPr>
                <w:rFonts w:cstheme="minorHAnsi"/>
                <w:sz w:val="23"/>
                <w:szCs w:val="23"/>
              </w:rPr>
              <w:t>NHS Trusts, GP Federations and your GP Practice</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7777777"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95471F" w:rsidRPr="00954E04" w14:paraId="296D5A21" w14:textId="77777777" w:rsidTr="00AD412F">
        <w:tc>
          <w:tcPr>
            <w:tcW w:w="2972" w:type="dxa"/>
          </w:tcPr>
          <w:p w14:paraId="34476839" w14:textId="77777777" w:rsidR="0095471F" w:rsidRDefault="0095471F" w:rsidP="0095471F">
            <w:r>
              <w:t>General Practice Extraction Service (GPES)</w:t>
            </w:r>
          </w:p>
          <w:p w14:paraId="327619AA" w14:textId="77777777" w:rsidR="0095471F" w:rsidRDefault="0095471F" w:rsidP="0095471F">
            <w:pPr>
              <w:numPr>
                <w:ilvl w:val="0"/>
                <w:numId w:val="12"/>
              </w:numPr>
              <w:spacing w:after="0" w:line="240" w:lineRule="auto"/>
              <w:rPr>
                <w:rFonts w:eastAsia="Times New Roman"/>
              </w:rPr>
            </w:pPr>
            <w:r>
              <w:rPr>
                <w:rFonts w:eastAsia="Times New Roman"/>
              </w:rPr>
              <w:t xml:space="preserve">At risk </w:t>
            </w:r>
            <w:proofErr w:type="gramStart"/>
            <w:r>
              <w:rPr>
                <w:rFonts w:eastAsia="Times New Roman"/>
              </w:rPr>
              <w:t>patients</w:t>
            </w:r>
            <w:proofErr w:type="gramEnd"/>
            <w:r>
              <w:rPr>
                <w:rFonts w:eastAsia="Times New Roman"/>
              </w:rPr>
              <w:t xml:space="preserve"> data collection Version 3</w:t>
            </w:r>
          </w:p>
          <w:p w14:paraId="77C3691E" w14:textId="77777777" w:rsidR="0095471F" w:rsidRDefault="0095471F" w:rsidP="0095471F">
            <w:pPr>
              <w:numPr>
                <w:ilvl w:val="0"/>
                <w:numId w:val="12"/>
              </w:numPr>
              <w:rPr>
                <w:rFonts w:eastAsia="Times New Roman"/>
              </w:rPr>
            </w:pPr>
            <w:r>
              <w:rPr>
                <w:rFonts w:eastAsia="Times New Roman"/>
              </w:rPr>
              <w:t>CVDPREVENT Audit</w:t>
            </w:r>
          </w:p>
          <w:p w14:paraId="1EA4A65A" w14:textId="77777777" w:rsidR="0095471F" w:rsidRDefault="0095471F" w:rsidP="0095471F">
            <w:pPr>
              <w:numPr>
                <w:ilvl w:val="0"/>
                <w:numId w:val="12"/>
              </w:numPr>
              <w:rPr>
                <w:rFonts w:eastAsia="Times New Roman"/>
              </w:rPr>
            </w:pPr>
            <w:r>
              <w:rPr>
                <w:rFonts w:eastAsia="Times New Roman"/>
              </w:rPr>
              <w:t>Physical Health Checks for people with Severe Mental Illness</w:t>
            </w:r>
          </w:p>
          <w:p w14:paraId="2D8E8750" w14:textId="77777777" w:rsidR="0095471F" w:rsidRPr="0095471F" w:rsidRDefault="0095471F" w:rsidP="0095471F">
            <w:pPr>
              <w:numPr>
                <w:ilvl w:val="0"/>
                <w:numId w:val="12"/>
              </w:numPr>
              <w:rPr>
                <w:rFonts w:eastAsia="Times New Roman"/>
              </w:rPr>
            </w:pPr>
            <w:r w:rsidRPr="0095471F">
              <w:rPr>
                <w:rFonts w:eastAsia="Times New Roman"/>
              </w:rPr>
              <w:t>National Obesity Audit</w:t>
            </w:r>
          </w:p>
          <w:p w14:paraId="52E01097" w14:textId="77777777" w:rsidR="0095471F" w:rsidRPr="00954E04" w:rsidRDefault="0095471F" w:rsidP="006D24A0">
            <w:pPr>
              <w:rPr>
                <w:rFonts w:eastAsia="Calibri" w:cstheme="minorHAnsi"/>
                <w:bCs/>
              </w:rPr>
            </w:pPr>
          </w:p>
        </w:tc>
        <w:tc>
          <w:tcPr>
            <w:tcW w:w="6044" w:type="dxa"/>
          </w:tcPr>
          <w:p w14:paraId="34ADEEE9" w14:textId="77777777" w:rsidR="0095471F" w:rsidRDefault="0095471F" w:rsidP="0095471F">
            <w:r>
              <w:rPr>
                <w:b/>
                <w:bCs/>
              </w:rPr>
              <w:t>Purpose –</w:t>
            </w:r>
            <w:r>
              <w:t xml:space="preserve"> GP practices are required to provide data extraction of their </w:t>
            </w:r>
            <w:proofErr w:type="gramStart"/>
            <w:r>
              <w:t>patients</w:t>
            </w:r>
            <w:proofErr w:type="gramEnd"/>
            <w:r>
              <w:t xml:space="preserve"> personal confidential information for various purposes to NHS England. The objective of this data collection is on an ongoing basis to identify patients registered at General Practices who fit within a </w:t>
            </w:r>
            <w:proofErr w:type="gramStart"/>
            <w:r>
              <w:t>certain criteria</w:t>
            </w:r>
            <w:proofErr w:type="gramEnd"/>
            <w:r>
              <w:t xml:space="preserve">,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0FB3250F" w14:textId="77777777" w:rsidR="0095471F" w:rsidRDefault="0095471F" w:rsidP="0095471F"/>
          <w:p w14:paraId="66A15DB4" w14:textId="77777777" w:rsidR="0095471F" w:rsidRDefault="0095471F" w:rsidP="0095471F">
            <w:pPr>
              <w:numPr>
                <w:ilvl w:val="0"/>
                <w:numId w:val="13"/>
              </w:numPr>
              <w:spacing w:after="0" w:line="240" w:lineRule="auto"/>
              <w:rPr>
                <w:rFonts w:eastAsia="Times New Roman"/>
              </w:rPr>
            </w:pPr>
            <w:hyperlink r:id="rId10" w:history="1">
              <w:r>
                <w:rPr>
                  <w:rStyle w:val="Hyperlink"/>
                  <w:rFonts w:eastAsia="Times New Roman"/>
                  <w:color w:val="0563C1"/>
                </w:rPr>
                <w:t>At risk patients including severely clinically vulnerable</w:t>
              </w:r>
            </w:hyperlink>
          </w:p>
          <w:p w14:paraId="5794B781" w14:textId="77777777" w:rsidR="0095471F" w:rsidRDefault="0095471F" w:rsidP="0095471F"/>
          <w:p w14:paraId="7F50A607" w14:textId="77777777" w:rsidR="0095471F" w:rsidRDefault="0095471F" w:rsidP="0095471F">
            <w:pPr>
              <w:ind w:left="720"/>
              <w:contextualSpacing/>
            </w:pPr>
          </w:p>
          <w:p w14:paraId="53FE5666" w14:textId="77777777" w:rsidR="0095471F" w:rsidRDefault="0095471F" w:rsidP="0095471F">
            <w:pPr>
              <w:numPr>
                <w:ilvl w:val="0"/>
                <w:numId w:val="13"/>
              </w:numPr>
              <w:rPr>
                <w:rFonts w:eastAsia="Times New Roman"/>
              </w:rPr>
            </w:pPr>
            <w:hyperlink r:id="rId11" w:history="1">
              <w:r>
                <w:rPr>
                  <w:rStyle w:val="Hyperlink"/>
                  <w:rFonts w:eastAsia="Times New Roman"/>
                  <w:color w:val="0563C1"/>
                </w:rPr>
                <w:t>NHS England has directed NHS England to collect and analyse data in connection with Cardiovascular Disease Prevention Audit</w:t>
              </w:r>
            </w:hyperlink>
          </w:p>
          <w:p w14:paraId="5F456AA2" w14:textId="77777777" w:rsidR="0095471F" w:rsidRDefault="0095471F" w:rsidP="0095471F"/>
          <w:p w14:paraId="0518B20E" w14:textId="77777777" w:rsidR="0095471F" w:rsidRDefault="0095471F" w:rsidP="0095471F">
            <w:pPr>
              <w:numPr>
                <w:ilvl w:val="0"/>
                <w:numId w:val="13"/>
              </w:numPr>
              <w:spacing w:after="0" w:line="240" w:lineRule="auto"/>
              <w:rPr>
                <w:rFonts w:eastAsia="Times New Roman"/>
              </w:rPr>
            </w:pPr>
            <w:hyperlink r:id="rId12" w:history="1">
              <w:r>
                <w:rPr>
                  <w:rStyle w:val="Hyperlink"/>
                  <w:rFonts w:eastAsia="Times New Roman"/>
                  <w:color w:val="0563C1"/>
                </w:rPr>
                <w:t>GPES Physical Health Checks for people with Severe Mental Illness (PHSMI) data collection</w:t>
              </w:r>
            </w:hyperlink>
            <w:r>
              <w:rPr>
                <w:rFonts w:eastAsia="Times New Roman"/>
              </w:rPr>
              <w:t>.</w:t>
            </w:r>
          </w:p>
          <w:p w14:paraId="1F737777" w14:textId="77777777" w:rsidR="0095471F" w:rsidRDefault="0095471F" w:rsidP="0095471F">
            <w:pPr>
              <w:pStyle w:val="ListParagraph"/>
            </w:pPr>
          </w:p>
          <w:p w14:paraId="2BBAC26F" w14:textId="77777777" w:rsidR="0095471F" w:rsidRPr="0095471F" w:rsidRDefault="0095471F" w:rsidP="0095471F">
            <w:pPr>
              <w:numPr>
                <w:ilvl w:val="0"/>
                <w:numId w:val="13"/>
              </w:numPr>
              <w:rPr>
                <w:rFonts w:eastAsia="Times New Roman"/>
              </w:rPr>
            </w:pPr>
            <w:hyperlink r:id="rId13" w:history="1">
              <w:r w:rsidRPr="0095471F">
                <w:rPr>
                  <w:rStyle w:val="Hyperlink"/>
                  <w:rFonts w:eastAsia="Times New Roman"/>
                </w:rPr>
                <w:t>National Obesity Audit - NHS Digital</w:t>
              </w:r>
            </w:hyperlink>
          </w:p>
          <w:p w14:paraId="36C1EAA0" w14:textId="77777777" w:rsidR="0095471F" w:rsidRDefault="0095471F" w:rsidP="0095471F"/>
          <w:p w14:paraId="4852CED8" w14:textId="77777777" w:rsidR="0095471F" w:rsidRDefault="0095471F" w:rsidP="0095471F">
            <w:r>
              <w:rPr>
                <w:b/>
                <w:bCs/>
              </w:rPr>
              <w:t>Legal Basis -</w:t>
            </w:r>
            <w:r>
              <w:t xml:space="preserve"> All GP Practices in England are legally required to share data with NHS England for this purpose under section 259(1)(a) and (5) of the</w:t>
            </w:r>
            <w:r>
              <w:rPr>
                <w:b/>
                <w:bCs/>
              </w:rPr>
              <w:t xml:space="preserve"> </w:t>
            </w:r>
            <w:proofErr w:type="spellStart"/>
            <w:r>
              <w:t>The</w:t>
            </w:r>
            <w:proofErr w:type="spellEnd"/>
            <w:r>
              <w:t xml:space="preserve"> Health and Social Care Act 2012 </w:t>
            </w:r>
          </w:p>
          <w:p w14:paraId="2BD622B1" w14:textId="77777777" w:rsidR="0095471F" w:rsidRDefault="0095471F" w:rsidP="0095471F"/>
          <w:p w14:paraId="50FD9B32" w14:textId="77777777" w:rsidR="0095471F" w:rsidRDefault="0095471F" w:rsidP="0095471F">
            <w:pPr>
              <w:rPr>
                <w:color w:val="212121"/>
                <w:lang w:eastAsia="en-GB"/>
              </w:rPr>
            </w:pPr>
            <w:r>
              <w:rPr>
                <w:color w:val="212121"/>
              </w:rPr>
              <w:t xml:space="preserve">Further detailed legal basis can be found in each link. </w:t>
            </w:r>
          </w:p>
          <w:p w14:paraId="2C379E2A" w14:textId="77777777" w:rsidR="0095471F" w:rsidRDefault="0095471F" w:rsidP="0095471F">
            <w:pPr>
              <w:rPr>
                <w:color w:val="212121"/>
              </w:rPr>
            </w:pPr>
          </w:p>
          <w:p w14:paraId="6CBB724B" w14:textId="77777777" w:rsidR="0095471F" w:rsidRDefault="0095471F" w:rsidP="0095471F">
            <w:r>
              <w:t xml:space="preserve">Any objections to this data collection should be made directly to NHS England.  </w:t>
            </w:r>
            <w:hyperlink r:id="rId14" w:history="1">
              <w:r>
                <w:rPr>
                  <w:rStyle w:val="Hyperlink"/>
                </w:rPr>
                <w:t>enquiries@nhsdigital.nhs.uk</w:t>
              </w:r>
            </w:hyperlink>
          </w:p>
          <w:p w14:paraId="6E1C9A8F" w14:textId="77777777" w:rsidR="0095471F" w:rsidRDefault="0095471F" w:rsidP="0095471F"/>
          <w:p w14:paraId="78E94E4A" w14:textId="5A624EC4" w:rsidR="0095471F" w:rsidRPr="00954E04" w:rsidRDefault="0095471F" w:rsidP="0095471F">
            <w:pPr>
              <w:jc w:val="both"/>
              <w:rPr>
                <w:rFonts w:eastAsia="Calibri" w:cstheme="minorHAnsi"/>
                <w:b/>
                <w:bCs/>
              </w:rPr>
            </w:pPr>
            <w:r>
              <w:rPr>
                <w:b/>
                <w:bCs/>
              </w:rPr>
              <w:t>Processor –</w:t>
            </w:r>
            <w:r>
              <w:t xml:space="preserve"> NHS England</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lastRenderedPageBreak/>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5DC7BF70"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95471F">
              <w:rPr>
                <w:rFonts w:cstheme="minorHAnsi"/>
              </w:rPr>
              <w:t>Local hospitals, MIND, Virtual Pharmacist, Physiotherapist, Specsavers</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5" w:tgtFrame="_blank" w:history="1">
              <w:r w:rsidRPr="00954E04">
                <w:rPr>
                  <w:u w:val="single"/>
                </w:rPr>
                <w:t xml:space="preserve">available </w:t>
              </w:r>
              <w:r w:rsidRPr="00954E04">
                <w:rPr>
                  <w:u w:val="single"/>
                </w:rPr>
                <w:lastRenderedPageBreak/>
                <w:t>on our website</w:t>
              </w:r>
            </w:hyperlink>
            <w:r w:rsidRPr="00954E04">
              <w:rPr>
                <w:b/>
                <w:bCs/>
              </w:rPr>
              <w:t xml:space="preserve">: </w:t>
            </w:r>
            <w:hyperlink r:id="rId16"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lastRenderedPageBreak/>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01AABC6" w14:textId="77777777" w:rsidR="002D5780" w:rsidRDefault="002D5780" w:rsidP="002B05A9">
            <w:pPr>
              <w:rPr>
                <w:rFonts w:eastAsia="Calibri" w:cstheme="minorHAnsi"/>
              </w:rPr>
            </w:pPr>
          </w:p>
          <w:p w14:paraId="71A700F6" w14:textId="28CCDC4A" w:rsidR="002D5780" w:rsidRPr="00974264" w:rsidRDefault="002D5780" w:rsidP="002B05A9">
            <w:pPr>
              <w:rPr>
                <w:rFonts w:eastAsia="Calibri" w:cstheme="minorHAnsi"/>
                <w:color w:val="000000" w:themeColor="text1"/>
              </w:rPr>
            </w:pPr>
            <w:r w:rsidRPr="00974264">
              <w:rPr>
                <w:color w:val="000000" w:themeColor="text1"/>
              </w:rPr>
              <w:t>Anonymous data is also shared with the National Association of Primary Care to support work on health inequalities.</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w:t>
            </w:r>
            <w:r w:rsidRPr="0095471F">
              <w:rPr>
                <w:rFonts w:eastAsia="Calibri" w:cstheme="minorHAnsi"/>
                <w:b/>
                <w:bCs/>
              </w:rPr>
              <w:t xml:space="preserve">-  </w:t>
            </w:r>
            <w:r w:rsidRPr="0095471F">
              <w:rPr>
                <w:rFonts w:eastAsia="Calibri" w:cstheme="minorHAnsi"/>
              </w:rPr>
              <w:t>Optum,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w:t>
            </w:r>
            <w:r w:rsidRPr="00954E04">
              <w:rPr>
                <w:rFonts w:cstheme="minorHAnsi"/>
              </w:rPr>
              <w:lastRenderedPageBreak/>
              <w:t>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08542EF4"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r w:rsidRPr="0095471F">
              <w:rPr>
                <w:rFonts w:cstheme="minorHAnsi"/>
              </w:rPr>
              <w:t>– EMIS, And</w:t>
            </w:r>
            <w:r>
              <w:rPr>
                <w:rFonts w:cstheme="minorHAnsi"/>
              </w:rPr>
              <w:t xml:space="preserve">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lastRenderedPageBreak/>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66CF8849"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95471F">
              <w:rPr>
                <w:rFonts w:eastAsia="Calibri" w:cstheme="minorHAnsi"/>
                <w:bCs/>
              </w:rPr>
              <w:t>BOB ICB Medicine Optimisation Team</w:t>
            </w:r>
            <w:r w:rsidRPr="00954E04">
              <w:rPr>
                <w:rFonts w:eastAsia="Calibri" w:cstheme="minorHAnsi"/>
                <w:bCs/>
              </w:rPr>
              <w:t xml:space="preserve"> </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6B4FB75F" w14:textId="77777777" w:rsidR="006D24A0" w:rsidRPr="00954E04" w:rsidRDefault="006D24A0" w:rsidP="0095471F">
            <w:pPr>
              <w:rPr>
                <w:rFonts w:eastAsia="Calibri" w:cstheme="minorHAnsi"/>
                <w:bCs/>
              </w:rPr>
            </w:pPr>
          </w:p>
        </w:tc>
        <w:tc>
          <w:tcPr>
            <w:tcW w:w="6044" w:type="dxa"/>
          </w:tcPr>
          <w:p w14:paraId="6C3AAE7F" w14:textId="53FA5240"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95471F">
              <w:rPr>
                <w:rFonts w:eastAsia="Calibri" w:cstheme="minorHAnsi"/>
                <w:bCs/>
              </w:rPr>
              <w:t>PML</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477EDAE6"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w:t>
            </w:r>
            <w:r w:rsidR="0095471F">
              <w:rPr>
                <w:rFonts w:eastAsia="Calibri" w:cstheme="minorHAnsi"/>
                <w:bCs/>
              </w:rPr>
              <w:t>- PML</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1AB66C6B"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 the</w:t>
            </w:r>
            <w:r w:rsidR="0095471F">
              <w:rPr>
                <w:rFonts w:eastAsia="Calibri" w:cstheme="minorHAnsi"/>
                <w:bCs/>
              </w:rPr>
              <w:t xml:space="preserve"> Rural West PCN</w:t>
            </w:r>
            <w:r w:rsidRPr="00954E04">
              <w:rPr>
                <w:rFonts w:eastAsia="Calibri" w:cstheme="minorHAnsi"/>
                <w:bCs/>
              </w:rPr>
              <w:t xml:space="preserve"> 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594932F8"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5471F">
              <w:rPr>
                <w:rFonts w:eastAsia="Calibri" w:cstheme="minorHAnsi"/>
                <w:bCs/>
              </w:rPr>
              <w:t xml:space="preserve">Burford Surgery, </w:t>
            </w:r>
            <w:proofErr w:type="spellStart"/>
            <w:r w:rsidR="0095471F">
              <w:rPr>
                <w:rFonts w:eastAsia="Calibri" w:cstheme="minorHAnsi"/>
                <w:bCs/>
              </w:rPr>
              <w:t>Broadshires</w:t>
            </w:r>
            <w:proofErr w:type="spellEnd"/>
            <w:r w:rsidR="0095471F">
              <w:rPr>
                <w:rFonts w:eastAsia="Calibri" w:cstheme="minorHAnsi"/>
                <w:bCs/>
              </w:rPr>
              <w:t xml:space="preserve"> Surgery, Charlbury Surgery</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37C01486" w14:textId="275ED619" w:rsidR="006D24A0" w:rsidRPr="00954E04" w:rsidRDefault="006D24A0" w:rsidP="006D24A0">
            <w:pPr>
              <w:jc w:val="both"/>
              <w:rPr>
                <w:rFonts w:eastAsia="Calibri" w:cstheme="minorHAnsi"/>
                <w:bCs/>
              </w:rPr>
            </w:pPr>
            <w:r w:rsidRPr="00954E04">
              <w:rPr>
                <w:rFonts w:eastAsia="Calibri" w:cstheme="minorHAnsi"/>
                <w:b/>
                <w:bCs/>
              </w:rPr>
              <w:t xml:space="preserve">Processor – </w:t>
            </w:r>
            <w:r w:rsidR="0095471F">
              <w:rPr>
                <w:rFonts w:eastAsia="Calibri" w:cstheme="minorHAnsi"/>
                <w:b/>
                <w:bCs/>
              </w:rPr>
              <w:t xml:space="preserve">Stop </w:t>
            </w:r>
            <w:proofErr w:type="gramStart"/>
            <w:r w:rsidR="0095471F">
              <w:rPr>
                <w:rFonts w:eastAsia="Calibri" w:cstheme="minorHAnsi"/>
                <w:b/>
                <w:bCs/>
              </w:rPr>
              <w:t>For</w:t>
            </w:r>
            <w:proofErr w:type="gramEnd"/>
            <w:r w:rsidR="0095471F">
              <w:rPr>
                <w:rFonts w:eastAsia="Calibri" w:cstheme="minorHAnsi"/>
                <w:b/>
                <w:bCs/>
              </w:rPr>
              <w:t xml:space="preserve"> Life – Oxon, Swindon Stop Smoking Service</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lastRenderedPageBreak/>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5BB984AB" w:rsidR="006D24A0" w:rsidRPr="00954E04" w:rsidRDefault="006D24A0" w:rsidP="006D24A0">
            <w:pPr>
              <w:rPr>
                <w:rFonts w:eastAsia="Calibri" w:cstheme="minorHAnsi"/>
                <w:b/>
                <w:bCs/>
              </w:rPr>
            </w:pPr>
            <w:r w:rsidRPr="00954E04">
              <w:rPr>
                <w:rFonts w:eastAsia="Calibri" w:cstheme="minorHAnsi"/>
                <w:b/>
                <w:bCs/>
              </w:rPr>
              <w:t xml:space="preserve">Processor </w:t>
            </w:r>
            <w:r w:rsidR="0095471F">
              <w:rPr>
                <w:rFonts w:eastAsia="Calibri" w:cstheme="minorHAnsi"/>
                <w:b/>
                <w:bCs/>
              </w:rPr>
              <w:t>–</w:t>
            </w:r>
            <w:r w:rsidRPr="00954E04">
              <w:rPr>
                <w:rFonts w:eastAsia="Calibri" w:cstheme="minorHAnsi"/>
                <w:b/>
                <w:bCs/>
              </w:rPr>
              <w:t xml:space="preserve"> </w:t>
            </w:r>
            <w:r w:rsidR="0095471F">
              <w:rPr>
                <w:rFonts w:eastAsia="Calibri" w:cstheme="minorHAnsi"/>
                <w:b/>
                <w:bCs/>
              </w:rPr>
              <w:t>Age UK</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25E1811F" w:rsidR="006D24A0" w:rsidRPr="00D44587" w:rsidRDefault="006D24A0" w:rsidP="006D24A0">
            <w:pPr>
              <w:rPr>
                <w:rFonts w:eastAsia="Calibri" w:cstheme="minorHAnsi"/>
                <w:bCs/>
                <w:highlight w:val="red"/>
              </w:rPr>
            </w:pPr>
            <w:r w:rsidRPr="0095471F">
              <w:rPr>
                <w:b/>
                <w:bCs/>
              </w:rPr>
              <w:t>Medical Examiner Service</w:t>
            </w:r>
          </w:p>
        </w:tc>
        <w:tc>
          <w:tcPr>
            <w:tcW w:w="6044" w:type="dxa"/>
            <w:shd w:val="clear" w:color="auto" w:fill="auto"/>
          </w:tcPr>
          <w:p w14:paraId="78C9A046" w14:textId="2FC17292"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95471F">
              <w:rPr>
                <w:color w:val="auto"/>
                <w:sz w:val="22"/>
                <w:szCs w:val="22"/>
                <w:lang w:eastAsia="en-US"/>
              </w:rPr>
              <w:t>Oxfordshire</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lastRenderedPageBreak/>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76D30357"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95471F">
              <w:rPr>
                <w:rStyle w:val="textcorrect"/>
              </w:rPr>
              <w:t>Oxfordshire</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95471F">
        <w:tc>
          <w:tcPr>
            <w:tcW w:w="2972" w:type="dxa"/>
            <w:shd w:val="clear" w:color="auto" w:fill="auto"/>
          </w:tcPr>
          <w:p w14:paraId="3E8BDDC3" w14:textId="0D867376" w:rsidR="006D24A0" w:rsidRPr="0095471F" w:rsidRDefault="006D24A0" w:rsidP="006D24A0">
            <w:pPr>
              <w:rPr>
                <w:rFonts w:eastAsia="Calibri" w:cstheme="minorHAnsi"/>
                <w:bCs/>
              </w:rPr>
            </w:pPr>
            <w:r w:rsidRPr="0095471F">
              <w:rPr>
                <w:rFonts w:eastAsia="Calibri" w:cstheme="minorHAnsi"/>
                <w:bCs/>
              </w:rPr>
              <w:lastRenderedPageBreak/>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66404C88" w:rsidR="006D24A0" w:rsidRPr="00954E04" w:rsidRDefault="006D24A0" w:rsidP="006D24A0">
            <w:pPr>
              <w:jc w:val="both"/>
              <w:rPr>
                <w:rFonts w:eastAsia="Calibri" w:cstheme="minorHAnsi"/>
                <w:b/>
                <w:bCs/>
              </w:rPr>
            </w:pPr>
            <w:proofErr w:type="gramStart"/>
            <w:r w:rsidRPr="00954E04">
              <w:rPr>
                <w:rFonts w:eastAsia="Calibri" w:cstheme="minorHAnsi"/>
                <w:b/>
                <w:bCs/>
              </w:rPr>
              <w:t>Provider</w:t>
            </w:r>
            <w:r w:rsidRPr="00954E04">
              <w:rPr>
                <w:rFonts w:eastAsia="Calibri" w:cstheme="minorHAnsi"/>
                <w:bCs/>
              </w:rPr>
              <w:t xml:space="preserve"> </w:t>
            </w:r>
            <w:r w:rsidR="0095471F">
              <w:rPr>
                <w:rFonts w:eastAsia="Calibri" w:cstheme="minorHAnsi"/>
                <w:bCs/>
              </w:rPr>
              <w:t xml:space="preserve"> -</w:t>
            </w:r>
            <w:proofErr w:type="gramEnd"/>
            <w:r w:rsidR="0095471F">
              <w:rPr>
                <w:rFonts w:eastAsia="Calibri" w:cstheme="minorHAnsi"/>
                <w:bCs/>
              </w:rPr>
              <w:t xml:space="preserve"> Private Healthcare Providers</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77D116E3" w:rsidR="006D24A0" w:rsidRPr="00954E04" w:rsidRDefault="006D24A0" w:rsidP="006D24A0">
            <w:pPr>
              <w:jc w:val="both"/>
              <w:rPr>
                <w:rFonts w:eastAsia="Calibri" w:cstheme="minorHAnsi"/>
                <w:b/>
                <w:bCs/>
              </w:rPr>
            </w:pPr>
            <w:proofErr w:type="gramStart"/>
            <w:r w:rsidRPr="00954E04">
              <w:rPr>
                <w:rFonts w:eastAsia="Calibri" w:cstheme="minorHAnsi"/>
                <w:b/>
                <w:bCs/>
              </w:rPr>
              <w:t xml:space="preserve">Provider  </w:t>
            </w:r>
            <w:r w:rsidRPr="0095471F">
              <w:rPr>
                <w:rFonts w:eastAsia="Calibri" w:cstheme="minorHAnsi"/>
                <w:b/>
                <w:bCs/>
              </w:rPr>
              <w:t>-</w:t>
            </w:r>
            <w:proofErr w:type="gramEnd"/>
            <w:r w:rsidRPr="0095471F">
              <w:rPr>
                <w:rFonts w:eastAsia="Calibri" w:cstheme="minorHAnsi"/>
                <w:b/>
                <w:bCs/>
              </w:rPr>
              <w:t xml:space="preserve"> </w:t>
            </w:r>
            <w:proofErr w:type="spellStart"/>
            <w:r w:rsidRPr="0095471F">
              <w:rPr>
                <w:rFonts w:eastAsia="Calibri" w:cstheme="minorHAnsi"/>
                <w:bCs/>
              </w:rPr>
              <w:t>AccuRX</w:t>
            </w:r>
            <w:proofErr w:type="spellEnd"/>
            <w:r w:rsidRPr="0095471F">
              <w:rPr>
                <w:rFonts w:eastAsia="Calibri" w:cstheme="minorHAnsi"/>
                <w:bCs/>
              </w:rPr>
              <w:t xml:space="preserve"> - NHSAPP, </w:t>
            </w:r>
            <w:proofErr w:type="spellStart"/>
            <w:r w:rsidRPr="0095471F">
              <w:rPr>
                <w:rFonts w:eastAsia="Calibri" w:cstheme="minorHAnsi"/>
                <w:bCs/>
              </w:rPr>
              <w:t>Mjog</w:t>
            </w:r>
            <w:proofErr w:type="spellEnd"/>
            <w:r w:rsidRPr="0095471F">
              <w:rPr>
                <w:rFonts w:eastAsia="Calibri" w:cstheme="minorHAnsi"/>
                <w:bCs/>
              </w:rPr>
              <w:t xml:space="preserve">, </w:t>
            </w:r>
            <w:proofErr w:type="spellStart"/>
            <w:r w:rsidRPr="0095471F">
              <w:rPr>
                <w:rFonts w:eastAsia="Calibri" w:cstheme="minorHAnsi"/>
                <w:bCs/>
              </w:rPr>
              <w:t>econsult</w:t>
            </w:r>
            <w:proofErr w:type="spellEnd"/>
            <w:r w:rsidRPr="0095471F">
              <w:rPr>
                <w:rFonts w:eastAsia="Calibri" w:cstheme="minorHAnsi"/>
                <w:bCs/>
              </w:rPr>
              <w:t xml:space="preserve">,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27A013C1" w:rsidR="006D24A0" w:rsidRPr="00954E04" w:rsidRDefault="006D24A0" w:rsidP="006D24A0">
            <w:pPr>
              <w:jc w:val="both"/>
              <w:rPr>
                <w:rFonts w:ascii="Calibri" w:eastAsia="Calibri" w:hAnsi="Calibri" w:cstheme="minorHAnsi"/>
                <w:bCs/>
              </w:rPr>
            </w:pPr>
            <w:r w:rsidRPr="0095471F">
              <w:rPr>
                <w:rFonts w:eastAsia="Calibri" w:cstheme="minorHAnsi"/>
                <w:b/>
                <w:bCs/>
              </w:rPr>
              <w:lastRenderedPageBreak/>
              <w:t xml:space="preserve">Processor – </w:t>
            </w:r>
            <w:r w:rsidRPr="0095471F">
              <w:rPr>
                <w:rFonts w:eastAsia="Calibri" w:cstheme="minorHAnsi"/>
                <w:bCs/>
              </w:rPr>
              <w:t xml:space="preserve">e-Consult, </w:t>
            </w:r>
            <w:proofErr w:type="spellStart"/>
            <w:r w:rsidRPr="0095471F">
              <w:rPr>
                <w:rFonts w:eastAsia="Calibri" w:cstheme="minorHAnsi"/>
                <w:bCs/>
              </w:rPr>
              <w:t>AccuRX</w:t>
            </w:r>
            <w:proofErr w:type="spellEnd"/>
            <w:r w:rsidRPr="0095471F">
              <w:rPr>
                <w:rFonts w:eastAsia="Calibri" w:cstheme="minorHAnsi"/>
                <w:bCs/>
              </w:rPr>
              <w:t xml:space="preserve">, </w:t>
            </w:r>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lastRenderedPageBreak/>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181D9705" w:rsidR="006D24A0" w:rsidRPr="00954E04" w:rsidRDefault="006D24A0" w:rsidP="006D24A0">
            <w:pPr>
              <w:jc w:val="both"/>
              <w:rPr>
                <w:rFonts w:eastAsia="Calibri" w:cstheme="minorHAnsi"/>
                <w:b/>
                <w:bCs/>
              </w:rPr>
            </w:pPr>
            <w:proofErr w:type="gramStart"/>
            <w:r w:rsidRPr="00954E04">
              <w:rPr>
                <w:rFonts w:eastAsia="Calibri" w:cstheme="minorHAnsi"/>
                <w:b/>
                <w:bCs/>
              </w:rPr>
              <w:t xml:space="preserve">Processor </w:t>
            </w:r>
            <w:r w:rsidR="0095471F">
              <w:rPr>
                <w:rFonts w:eastAsia="Calibri" w:cstheme="minorHAnsi"/>
                <w:b/>
                <w:bCs/>
              </w:rPr>
              <w:t xml:space="preserve"> -</w:t>
            </w:r>
            <w:proofErr w:type="gramEnd"/>
            <w:r w:rsidR="0095471F">
              <w:rPr>
                <w:rFonts w:eastAsia="Calibri" w:cstheme="minorHAnsi"/>
                <w:b/>
                <w:bCs/>
              </w:rPr>
              <w:t xml:space="preserve"> Primary Health Care Team – Sobell House, Carterton Health Visitors, Oxford Health</w:t>
            </w:r>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30796B5D" w14:textId="77777777" w:rsidR="006D24A0" w:rsidRPr="00954E04" w:rsidRDefault="006D24A0" w:rsidP="006D24A0">
            <w:pPr>
              <w:numPr>
                <w:ilvl w:val="0"/>
                <w:numId w:val="2"/>
              </w:numPr>
              <w:contextualSpacing/>
            </w:pPr>
            <w:r w:rsidRPr="00954E04">
              <w:t>Physical Health Checks for people with Severe Mental Illness</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95471F" w:rsidP="006D24A0">
            <w:pPr>
              <w:numPr>
                <w:ilvl w:val="0"/>
                <w:numId w:val="3"/>
              </w:numPr>
              <w:contextualSpacing/>
            </w:pPr>
            <w:hyperlink r:id="rId17"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95471F" w:rsidP="006D24A0">
            <w:pPr>
              <w:numPr>
                <w:ilvl w:val="0"/>
                <w:numId w:val="3"/>
              </w:numPr>
              <w:contextualSpacing/>
            </w:pPr>
            <w:hyperlink r:id="rId18"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95471F" w:rsidP="006D24A0">
            <w:pPr>
              <w:numPr>
                <w:ilvl w:val="0"/>
                <w:numId w:val="3"/>
              </w:numPr>
              <w:contextualSpacing/>
            </w:pPr>
            <w:hyperlink r:id="rId19"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20"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w:t>
            </w:r>
            <w:r>
              <w:rPr>
                <w:bCs/>
              </w:rPr>
              <w:lastRenderedPageBreak/>
              <w:t>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246CB3E6" w14:textId="77777777" w:rsidTr="0095471F">
        <w:trPr>
          <w:trHeight w:val="3818"/>
        </w:trPr>
        <w:tc>
          <w:tcPr>
            <w:tcW w:w="2972" w:type="dxa"/>
            <w:shd w:val="clear" w:color="auto" w:fill="auto"/>
          </w:tcPr>
          <w:p w14:paraId="247F2637" w14:textId="77777777" w:rsidR="006D24A0" w:rsidRPr="00760EF7" w:rsidRDefault="006D24A0" w:rsidP="006D24A0">
            <w:r w:rsidRPr="0095471F">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423764D9" w:rsidR="006D24A0" w:rsidRPr="00760EF7" w:rsidRDefault="006D24A0" w:rsidP="006D24A0">
            <w:pPr>
              <w:rPr>
                <w:bCs/>
              </w:rPr>
            </w:pPr>
            <w:r w:rsidRPr="00760EF7">
              <w:rPr>
                <w:b/>
                <w:bCs/>
              </w:rPr>
              <w:t xml:space="preserve">Provider </w:t>
            </w:r>
            <w:r w:rsidRPr="0095471F">
              <w:rPr>
                <w:b/>
                <w:bCs/>
              </w:rPr>
              <w:t xml:space="preserve">– </w:t>
            </w:r>
            <w:r w:rsidRPr="0095471F">
              <w:rPr>
                <w:bCs/>
              </w:rPr>
              <w:t>Surgery Connect – X-ON,</w:t>
            </w:r>
            <w:r>
              <w:rPr>
                <w:bCs/>
              </w:rPr>
              <w:t xml:space="preserve"> </w:t>
            </w:r>
          </w:p>
        </w:tc>
      </w:tr>
      <w:tr w:rsidR="006D24A0" w:rsidRPr="00954E04" w14:paraId="0342850A" w14:textId="77777777" w:rsidTr="00AD412F">
        <w:tc>
          <w:tcPr>
            <w:tcW w:w="2972" w:type="dxa"/>
          </w:tcPr>
          <w:p w14:paraId="793E41E9" w14:textId="77777777" w:rsidR="006D24A0" w:rsidRPr="0095471F" w:rsidRDefault="006D24A0" w:rsidP="006D24A0">
            <w:r w:rsidRPr="0095471F">
              <w:t>Learning Disability Mortality Programme</w:t>
            </w:r>
          </w:p>
          <w:p w14:paraId="64739329" w14:textId="67B86112" w:rsidR="006D24A0" w:rsidRPr="0095471F" w:rsidRDefault="006D24A0" w:rsidP="006D24A0">
            <w:r w:rsidRPr="0095471F">
              <w:t xml:space="preserve">LeDer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0"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w:t>
            </w:r>
            <w:r>
              <w:rPr>
                <w:bCs/>
              </w:rPr>
              <w:lastRenderedPageBreak/>
              <w:t xml:space="preserve">of systems including </w:t>
            </w:r>
            <w:hyperlink r:id="rId21"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6E0CEDA5" w:rsidR="006D24A0" w:rsidRDefault="006D24A0" w:rsidP="006D24A0">
            <w:r>
              <w:lastRenderedPageBreak/>
              <w:t xml:space="preserve">Local shared care </w:t>
            </w:r>
            <w:proofErr w:type="gramStart"/>
            <w:r>
              <w:t xml:space="preserve">record </w:t>
            </w:r>
            <w:r w:rsidR="0095471F">
              <w:t xml:space="preserve"> -</w:t>
            </w:r>
            <w:proofErr w:type="gramEnd"/>
            <w:r w:rsidR="0095471F">
              <w:t xml:space="preserve"> Banbury Hub</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4FBB4316" w:rsidR="006D24A0" w:rsidRDefault="006D24A0" w:rsidP="006D24A0">
            <w:pPr>
              <w:rPr>
                <w:b/>
              </w:rPr>
            </w:pPr>
            <w:r>
              <w:rPr>
                <w:b/>
              </w:rPr>
              <w:t xml:space="preserve">Processor: </w:t>
            </w:r>
            <w:r w:rsidR="0095471F">
              <w:rPr>
                <w:bCs/>
              </w:rPr>
              <w:t>Banbury Hub</w:t>
            </w:r>
          </w:p>
        </w:tc>
      </w:tr>
      <w:bookmarkEnd w:id="0"/>
      <w:tr w:rsidR="006D24A0" w:rsidRPr="00954E04" w14:paraId="19222211" w14:textId="77777777" w:rsidTr="00AD412F">
        <w:tc>
          <w:tcPr>
            <w:tcW w:w="2972" w:type="dxa"/>
          </w:tcPr>
          <w:p w14:paraId="24C312CC" w14:textId="77777777" w:rsidR="006D24A0" w:rsidRPr="0095471F" w:rsidRDefault="006D24A0" w:rsidP="006D24A0">
            <w:r w:rsidRPr="0095471F">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95471F">
              <w:rPr>
                <w:bCs/>
              </w:rPr>
              <w:t>LumiraDX</w:t>
            </w:r>
            <w:proofErr w:type="spellEnd"/>
            <w:r w:rsidRPr="0095471F">
              <w:rPr>
                <w:bCs/>
              </w:rPr>
              <w:t xml:space="preserve"> </w:t>
            </w:r>
            <w:proofErr w:type="spellStart"/>
            <w:r w:rsidRPr="0095471F">
              <w:rPr>
                <w:bCs/>
              </w:rPr>
              <w:t>INRStar</w:t>
            </w:r>
            <w:proofErr w:type="spellEnd"/>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479F1399"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054535">
        <w:rPr>
          <w:rFonts w:eastAsia="Times New Roman" w:cstheme="minorHAnsi"/>
          <w:color w:val="000000" w:themeColor="text1"/>
          <w:lang w:val="en-US" w:eastAsia="en-GB"/>
        </w:rPr>
        <w:t xml:space="preserve">September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FD21685" w:rsidR="00BC50D8" w:rsidRDefault="00BC50D8">
    <w:pPr>
      <w:pStyle w:val="Footer"/>
    </w:pPr>
    <w:r>
      <w:t>Appendix A – GP Privacy Notice V</w:t>
    </w:r>
    <w:r w:rsidR="00873BBB">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B2E0" w14:textId="77777777" w:rsidR="00BC50D8" w:rsidRDefault="00BC50D8" w:rsidP="00F07ECC">
    <w:pPr>
      <w:pStyle w:val="Header"/>
      <w:jc w:val="right"/>
    </w:pPr>
    <w:r>
      <w:t>Insert Practice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772370">
    <w:abstractNumId w:val="0"/>
  </w:num>
  <w:num w:numId="2" w16cid:durableId="178126858">
    <w:abstractNumId w:val="8"/>
  </w:num>
  <w:num w:numId="3" w16cid:durableId="1879078767">
    <w:abstractNumId w:val="6"/>
  </w:num>
  <w:num w:numId="4" w16cid:durableId="2034721405">
    <w:abstractNumId w:val="2"/>
  </w:num>
  <w:num w:numId="5" w16cid:durableId="1020164424">
    <w:abstractNumId w:val="5"/>
  </w:num>
  <w:num w:numId="6" w16cid:durableId="2087147157">
    <w:abstractNumId w:val="10"/>
  </w:num>
  <w:num w:numId="7" w16cid:durableId="1413508686">
    <w:abstractNumId w:val="1"/>
  </w:num>
  <w:num w:numId="8" w16cid:durableId="1187331473">
    <w:abstractNumId w:val="9"/>
  </w:num>
  <w:num w:numId="9" w16cid:durableId="295796551">
    <w:abstractNumId w:val="7"/>
  </w:num>
  <w:num w:numId="10" w16cid:durableId="1657877890">
    <w:abstractNumId w:val="4"/>
  </w:num>
  <w:num w:numId="11" w16cid:durableId="1780295995">
    <w:abstractNumId w:val="3"/>
  </w:num>
  <w:num w:numId="12" w16cid:durableId="1735229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535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55A8B"/>
    <w:rsid w:val="0016008F"/>
    <w:rsid w:val="00196EFB"/>
    <w:rsid w:val="001B38AE"/>
    <w:rsid w:val="001C176E"/>
    <w:rsid w:val="001F5522"/>
    <w:rsid w:val="00250E21"/>
    <w:rsid w:val="00254F48"/>
    <w:rsid w:val="002758F4"/>
    <w:rsid w:val="00296933"/>
    <w:rsid w:val="002B05A9"/>
    <w:rsid w:val="002D5780"/>
    <w:rsid w:val="002F2E2E"/>
    <w:rsid w:val="0033147B"/>
    <w:rsid w:val="0036496C"/>
    <w:rsid w:val="00374DFC"/>
    <w:rsid w:val="00376A3F"/>
    <w:rsid w:val="003774A3"/>
    <w:rsid w:val="00380AF8"/>
    <w:rsid w:val="003A4D37"/>
    <w:rsid w:val="003A79D5"/>
    <w:rsid w:val="003B3436"/>
    <w:rsid w:val="003B4E54"/>
    <w:rsid w:val="003D2DA9"/>
    <w:rsid w:val="00420D53"/>
    <w:rsid w:val="00466A4F"/>
    <w:rsid w:val="004C3AAC"/>
    <w:rsid w:val="004C658D"/>
    <w:rsid w:val="004F3B41"/>
    <w:rsid w:val="004F7731"/>
    <w:rsid w:val="0053543D"/>
    <w:rsid w:val="00572456"/>
    <w:rsid w:val="00581B5F"/>
    <w:rsid w:val="005B4A31"/>
    <w:rsid w:val="005C12D6"/>
    <w:rsid w:val="005D5956"/>
    <w:rsid w:val="0061658B"/>
    <w:rsid w:val="006317AE"/>
    <w:rsid w:val="006319B1"/>
    <w:rsid w:val="006324ED"/>
    <w:rsid w:val="006328B5"/>
    <w:rsid w:val="00652657"/>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91273"/>
    <w:rsid w:val="008A0658"/>
    <w:rsid w:val="008B1236"/>
    <w:rsid w:val="008B203B"/>
    <w:rsid w:val="008D3D82"/>
    <w:rsid w:val="008F375A"/>
    <w:rsid w:val="00902769"/>
    <w:rsid w:val="00944040"/>
    <w:rsid w:val="0095471F"/>
    <w:rsid w:val="00954E04"/>
    <w:rsid w:val="00954EDA"/>
    <w:rsid w:val="00974264"/>
    <w:rsid w:val="00975570"/>
    <w:rsid w:val="0099393D"/>
    <w:rsid w:val="009E079A"/>
    <w:rsid w:val="009E3115"/>
    <w:rsid w:val="009E638D"/>
    <w:rsid w:val="00A126AF"/>
    <w:rsid w:val="00AA0BD9"/>
    <w:rsid w:val="00AA1834"/>
    <w:rsid w:val="00AA2EE5"/>
    <w:rsid w:val="00AA53E1"/>
    <w:rsid w:val="00AC56E0"/>
    <w:rsid w:val="00AD412F"/>
    <w:rsid w:val="00AE6C65"/>
    <w:rsid w:val="00AE6F95"/>
    <w:rsid w:val="00B15684"/>
    <w:rsid w:val="00B43102"/>
    <w:rsid w:val="00B5292B"/>
    <w:rsid w:val="00B97912"/>
    <w:rsid w:val="00BB2FC9"/>
    <w:rsid w:val="00BB7935"/>
    <w:rsid w:val="00BC50D8"/>
    <w:rsid w:val="00C058D2"/>
    <w:rsid w:val="00C13251"/>
    <w:rsid w:val="00C1555E"/>
    <w:rsid w:val="00C761F4"/>
    <w:rsid w:val="00C8563C"/>
    <w:rsid w:val="00C9513D"/>
    <w:rsid w:val="00CE7BEB"/>
    <w:rsid w:val="00CF58A3"/>
    <w:rsid w:val="00D1039F"/>
    <w:rsid w:val="00D10832"/>
    <w:rsid w:val="00D11933"/>
    <w:rsid w:val="00D17811"/>
    <w:rsid w:val="00D44587"/>
    <w:rsid w:val="00D53DB7"/>
    <w:rsid w:val="00D608F7"/>
    <w:rsid w:val="00D700FB"/>
    <w:rsid w:val="00D72537"/>
    <w:rsid w:val="00DC294A"/>
    <w:rsid w:val="00DE6928"/>
    <w:rsid w:val="00DF059C"/>
    <w:rsid w:val="00E12637"/>
    <w:rsid w:val="00E1332B"/>
    <w:rsid w:val="00E26A8A"/>
    <w:rsid w:val="00E476C3"/>
    <w:rsid w:val="00E70EFA"/>
    <w:rsid w:val="00E71340"/>
    <w:rsid w:val="00E80A35"/>
    <w:rsid w:val="00E86F49"/>
    <w:rsid w:val="00E94B61"/>
    <w:rsid w:val="00EE2824"/>
    <w:rsid w:val="00EF4690"/>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346175864">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 w:id="19573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terry.wilson%40nhs.net%7C983308d0c4d8408736ab08dbe10f9e27%7C37c354b285b047f5b22207b48d774ee3%7C0%7C0%7C638351229413555514%7CUnknown%7CTWFpbGZsb3d8eyJWIjoiMC4wLjAwMDAiLCJQIjoiV2luMzIiLCJBTiI6Ik1haWwiLCJXVCI6Mn0%3D%7C3000%7C%7C%7C&amp;sdata=T%2FwsxZFVyHUbPa%2BN5zrHiyXJC%2BQs8u5um125E2%2FMSPs%3D&amp;reserved=0"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3" Type="http://schemas.openxmlformats.org/officeDocument/2006/relationships/styles" Target="styles.xml"/><Relationship Id="rId21" Type="http://schemas.openxmlformats.org/officeDocument/2006/relationships/hyperlink" Target="https://digital.nhs.uk/data-and-information/keeping-data-safe-and-benefitting-the-public/gdpr/gdpr-register/gp-connect" TargetMode="External"/><Relationship Id="rId7" Type="http://schemas.openxmlformats.org/officeDocument/2006/relationships/endnotes" Target="endnotes.xml"/><Relationship Id="rId12" Type="http://schemas.openxmlformats.org/officeDocument/2006/relationships/hyperlink" Target="https://gbr01.safelinks.protection.outlook.com/?url=https%3A%2F%2Fdigital.nhs.uk%2Fabout-nhs-digital%2Fcorporate-information-and-documents%2Fdirections-and-data-provision-notices%2Fdata-provision-notices-dpns%2Fphysical-health-checks-severe-mental-illness%3F_cldee%3Dcm9iZXJ0LmhhY2tpbmdAbmhzLm5ldA%253d%253d%26recipientid%3Dlead-1b4643b1db2feb11bf6f000d3a86b8d5-6b1a1b731c7d46d2b60ec64c42de1be7%26esid%3Db5b9d61e-ab29-eb11-a813-000d3a87467d&amp;data=05%7C01%7Cterry.wilson%40nhs.net%7C983308d0c4d8408736ab08dbe10f9e27%7C37c354b285b047f5b22207b48d774ee3%7C0%7C0%7C638351229413555514%7CUnknown%7CTWFpbGZsb3d8eyJWIjoiMC4wLjAwMDAiLCJQIjoiV2luMzIiLCJBTiI6Ik1haWwiLCJXVCI6Mn0%3D%7C3000%7C%7C%7C&amp;sdata=mAMmETBgOQyCEXckHNTW%2BCWrZfHWicTQ3QqCEmnLyVo%3D&amp;reserved=0" TargetMode="External"/><Relationship Id="rId17" Type="http://schemas.openxmlformats.org/officeDocument/2006/relationships/hyperlink" Target="https://digital.nhs.uk/about-nhs-digital/corporate-information-and-documents/directions-and-data-provision-notices/data-provision-notices-dpns/covid-19-at-risk-patients-data-provision-not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qc.org.uk/about-us/our-policies/privacy-statement" TargetMode="External"/><Relationship Id="rId20" Type="http://schemas.openxmlformats.org/officeDocument/2006/relationships/hyperlink" Target="mailto:enquiries@nhsdigital.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digital.nhs.uk%2Fabout-nhs-digital%2Fcorporate-information-and-documents%2Fdirections-and-data-provision-notices%2Fdata-provision-notices-dpns%2Fcardiovascular-disease-prevention-audit&amp;data=05%7C01%7Cterry.wilson%40nhs.net%7C983308d0c4d8408736ab08dbe10f9e27%7C37c354b285b047f5b22207b48d774ee3%7C0%7C0%7C638351229413399265%7CUnknown%7CTWFpbGZsb3d8eyJWIjoiMC4wLjAwMDAiLCJQIjoiV2luMzIiLCJBTiI6Ik1haWwiLCJXVCI6Mn0%3D%7C3000%7C%7C%7C&amp;sdata=xC0ba%2F8E7bDfFIO259Wex4%2Bzwmj9RMcZ%2FBktzBrjomM%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3" Type="http://schemas.openxmlformats.org/officeDocument/2006/relationships/footer" Target="footer1.xml"/><Relationship Id="rId10" Type="http://schemas.openxmlformats.org/officeDocument/2006/relationships/hyperlink" Target="https://gbr01.safelinks.protection.outlook.com/?url=https%3A%2F%2Fdigital.nhs.uk%2Fabout-nhs-digital%2Fcorporate-information-and-documents%2Fdirections-and-data-provision-notices%2Fdata-provision-notices-dpns%2Fcovid-19-at-risk-patients-data-provision-notice&amp;data=05%7C01%7Cterry.wilson%40nhs.net%7C983308d0c4d8408736ab08dbe10f9e27%7C37c354b285b047f5b22207b48d774ee3%7C0%7C0%7C638351229413399265%7CUnknown%7CTWFpbGZsb3d8eyJWIjoiMC4wLjAwMDAiLCJQIjoiV2luMzIiLCJBTiI6Ik1haWwiLCJXVCI6Mn0%3D%7C3000%7C%7C%7C&amp;sdata=jHPo7z7zZGgsa7wgZpzkodGy5XiB9YLKmC4tgLABD9Y%3D&amp;reserved=0" TargetMode="External"/><Relationship Id="rId19"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mailto:enquiries@nhsdigital.nhs.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CE5E-C11F-44D4-9183-71B1162B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4940</Words>
  <Characters>28162</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Terry Wilson</cp:lastModifiedBy>
  <cp:revision>2</cp:revision>
  <dcterms:created xsi:type="dcterms:W3CDTF">2023-11-09T12:10:00Z</dcterms:created>
  <dcterms:modified xsi:type="dcterms:W3CDTF">2023-11-09T12:10:00Z</dcterms:modified>
</cp:coreProperties>
</file>